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default"/>
          <w:b/>
          <w:bCs/>
          <w:sz w:val="44"/>
          <w:szCs w:val="44"/>
          <w:lang w:val="en-US" w:eastAsia="zh-CN"/>
        </w:rPr>
      </w:pPr>
      <w:r>
        <w:rPr>
          <w:rFonts w:hint="default"/>
          <w:b/>
          <w:bCs/>
          <w:sz w:val="44"/>
          <w:szCs w:val="44"/>
          <w:lang w:val="en-US" w:eastAsia="zh-CN"/>
        </w:rPr>
        <w:t>惠州仲恺高新区国有建设用地使用权</w:t>
      </w:r>
    </w:p>
    <w:p>
      <w:pPr>
        <w:pStyle w:val="5"/>
        <w:ind w:firstLine="2650" w:firstLineChars="600"/>
        <w:jc w:val="both"/>
        <w:rPr>
          <w:rFonts w:hint="default" w:ascii="Times New Roman" w:hAnsi="Times New Roman" w:eastAsia="方正小标宋简体" w:cs="Times New Roman"/>
          <w:b/>
          <w:bCs/>
          <w:color w:val="auto"/>
          <w:spacing w:val="20"/>
          <w:w w:val="100"/>
          <w:kern w:val="0"/>
          <w:sz w:val="44"/>
          <w:szCs w:val="44"/>
          <w:highlight w:val="none"/>
          <w:lang w:val="en-US" w:eastAsia="zh-CN"/>
        </w:rPr>
      </w:pPr>
      <w:r>
        <w:rPr>
          <w:rFonts w:hint="default"/>
          <w:b/>
          <w:bCs/>
          <w:sz w:val="44"/>
          <w:szCs w:val="44"/>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07</w:t>
      </w:r>
      <w:r>
        <w:rPr>
          <w:rFonts w:hint="default" w:ascii="Times New Roman" w:hAnsi="Times New Roman" w:eastAsia="仿宋_GB2312" w:cs="Times New Roman"/>
          <w:b w:val="0"/>
          <w:bCs w:val="0"/>
          <w:color w:val="auto"/>
          <w:sz w:val="32"/>
          <w:szCs w:val="32"/>
          <w:highlight w:val="none"/>
        </w:rPr>
        <w:t>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0" w:name="bookmark3"/>
      <w:r>
        <w:rPr>
          <w:rFonts w:hint="default" w:ascii="Times New Roman" w:hAnsi="Times New Roman" w:eastAsia="黑体" w:cs="Times New Roman"/>
          <w:color w:val="000000"/>
          <w:spacing w:val="0"/>
          <w:w w:val="100"/>
          <w:position w:val="0"/>
          <w:sz w:val="32"/>
          <w:szCs w:val="32"/>
        </w:rPr>
        <w:t>一</w:t>
      </w:r>
      <w:bookmarkEnd w:id="0"/>
      <w:r>
        <w:rPr>
          <w:rFonts w:hint="default" w:ascii="Times New Roman" w:hAnsi="Times New Roman" w:eastAsia="黑体" w:cs="Times New Roman"/>
          <w:color w:val="000000"/>
          <w:spacing w:val="0"/>
          <w:w w:val="100"/>
          <w:position w:val="0"/>
          <w:sz w:val="32"/>
          <w:szCs w:val="32"/>
        </w:rPr>
        <w:t>、网上挂牌出让地块基本情况及规划指标要求（见附表）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1" w:name="bookmark4"/>
      <w:r>
        <w:rPr>
          <w:rFonts w:hint="default" w:ascii="Times New Roman" w:hAnsi="Times New Roman" w:eastAsia="黑体" w:cs="Times New Roman"/>
          <w:color w:val="000000"/>
          <w:spacing w:val="0"/>
          <w:w w:val="100"/>
          <w:position w:val="0"/>
          <w:sz w:val="32"/>
          <w:szCs w:val="32"/>
        </w:rPr>
        <w:t>二</w:t>
      </w:r>
      <w:bookmarkEnd w:id="1"/>
      <w:r>
        <w:rPr>
          <w:rFonts w:hint="default" w:ascii="Times New Roman" w:hAnsi="Times New Roman" w:eastAsia="黑体" w:cs="Times New Roman"/>
          <w:color w:val="000000"/>
          <w:spacing w:val="0"/>
          <w:w w:val="100"/>
          <w:position w:val="0"/>
          <w:sz w:val="32"/>
          <w:szCs w:val="32"/>
        </w:rPr>
        <w:t>、挂牌起始价及加价幅度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4422</w:t>
      </w:r>
      <w:r>
        <w:rPr>
          <w:rFonts w:hint="default" w:ascii="Times New Roman" w:hAnsi="Times New Roman" w:eastAsia="仿宋_GB2312" w:cs="Times New Roman"/>
          <w:color w:val="000000"/>
          <w:spacing w:val="0"/>
          <w:w w:val="100"/>
          <w:position w:val="0"/>
          <w:sz w:val="32"/>
          <w:szCs w:val="32"/>
        </w:rPr>
        <w:t>万元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每次报价加价幅度为人民币</w:t>
      </w:r>
      <w:r>
        <w:rPr>
          <w:rFonts w:hint="eastAsia" w:ascii="Times New Roman" w:hAnsi="Times New Roman" w:eastAsia="仿宋_GB2312" w:cs="Times New Roman"/>
          <w:color w:val="000000"/>
          <w:spacing w:val="0"/>
          <w:w w:val="100"/>
          <w:position w:val="0"/>
          <w:sz w:val="32"/>
          <w:szCs w:val="32"/>
          <w:lang w:val="en-US" w:eastAsia="zh-CN"/>
        </w:rPr>
        <w:t>50</w:t>
      </w:r>
      <w:r>
        <w:rPr>
          <w:rFonts w:hint="default" w:ascii="Times New Roman" w:hAnsi="Times New Roman" w:eastAsia="仿宋_GB2312" w:cs="Times New Roman"/>
          <w:color w:val="000000"/>
          <w:spacing w:val="0"/>
          <w:w w:val="100"/>
          <w:position w:val="0"/>
          <w:sz w:val="32"/>
          <w:szCs w:val="32"/>
        </w:rPr>
        <w:t>万元的整数倍。</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2" w:name="bookmark5"/>
      <w:r>
        <w:rPr>
          <w:rFonts w:hint="default" w:ascii="Times New Roman" w:hAnsi="Times New Roman" w:eastAsia="黑体" w:cs="Times New Roman"/>
          <w:color w:val="000000"/>
          <w:spacing w:val="0"/>
          <w:w w:val="100"/>
          <w:position w:val="0"/>
          <w:sz w:val="32"/>
          <w:szCs w:val="32"/>
        </w:rPr>
        <w:t>三</w:t>
      </w:r>
      <w:bookmarkEnd w:id="2"/>
      <w:r>
        <w:rPr>
          <w:rFonts w:hint="default" w:ascii="Times New Roman" w:hAnsi="Times New Roman" w:eastAsia="黑体" w:cs="Times New Roman"/>
          <w:color w:val="000000"/>
          <w:spacing w:val="0"/>
          <w:w w:val="100"/>
          <w:position w:val="0"/>
          <w:sz w:val="32"/>
          <w:szCs w:val="32"/>
        </w:rPr>
        <w:t>、时间安排</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日9时至202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日10时</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日9时</w:t>
      </w:r>
      <w:r>
        <w:rPr>
          <w:rFonts w:hint="default" w:ascii="Times New Roman" w:hAnsi="Times New Roman" w:eastAsia="仿宋_GB2312" w:cs="Times New Roman"/>
          <w:color w:val="000000"/>
          <w:spacing w:val="0"/>
          <w:w w:val="100"/>
          <w:position w:val="0"/>
          <w:sz w:val="32"/>
          <w:szCs w:val="32"/>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6" w:name="bookmark9"/>
      <w:r>
        <w:rPr>
          <w:rFonts w:hint="default" w:ascii="Times New Roman" w:hAnsi="Times New Roman" w:eastAsia="黑体" w:cs="Times New Roman"/>
          <w:color w:val="000000"/>
          <w:spacing w:val="0"/>
          <w:w w:val="100"/>
          <w:position w:val="0"/>
          <w:sz w:val="32"/>
          <w:szCs w:val="32"/>
        </w:rPr>
        <w:t>四</w:t>
      </w:r>
      <w:bookmarkEnd w:id="6"/>
      <w:r>
        <w:rPr>
          <w:rFonts w:hint="default" w:ascii="Times New Roman" w:hAnsi="Times New Roman" w:eastAsia="黑体" w:cs="Times New Roman"/>
          <w:color w:val="000000"/>
          <w:spacing w:val="0"/>
          <w:w w:val="100"/>
          <w:position w:val="0"/>
          <w:sz w:val="32"/>
          <w:szCs w:val="32"/>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一）缴交竞买保证金</w:t>
      </w:r>
      <w:r>
        <w:rPr>
          <w:rFonts w:hint="eastAsia" w:ascii="Times New Roman" w:hAnsi="Times New Roman" w:eastAsia="仿宋_GB2312" w:cs="Times New Roman"/>
          <w:color w:val="000000"/>
          <w:spacing w:val="0"/>
          <w:w w:val="100"/>
          <w:position w:val="0"/>
          <w:sz w:val="32"/>
          <w:szCs w:val="32"/>
          <w:lang w:val="en-US" w:eastAsia="zh-CN"/>
        </w:rPr>
        <w:t>885</w:t>
      </w:r>
      <w:r>
        <w:rPr>
          <w:rFonts w:hint="default" w:ascii="Times New Roman" w:hAnsi="Times New Roman" w:eastAsia="仿宋_GB2312" w:cs="Times New Roman"/>
          <w:color w:val="000000"/>
          <w:spacing w:val="0"/>
          <w:w w:val="100"/>
          <w:position w:val="0"/>
          <w:sz w:val="32"/>
          <w:szCs w:val="32"/>
        </w:rPr>
        <w:t>万元人民币；</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color w:val="auto"/>
          <w:kern w:val="2"/>
          <w:sz w:val="32"/>
          <w:szCs w:val="32"/>
          <w:u w:val="none"/>
          <w:lang w:val="en-US" w:eastAsia="zh-CN" w:bidi="ar-SA"/>
        </w:rPr>
        <w:t>拖欠地价款、闲置土地、囤地炒地、有违法或不良信用记录的企业及其控股股东不得参与竞买</w:t>
      </w:r>
      <w:r>
        <w:rPr>
          <w:rFonts w:hint="eastAsia" w:ascii="仿宋_GB2312" w:hAnsi="仿宋_GB2312" w:eastAsia="仿宋_GB2312" w:cs="仿宋_GB2312"/>
          <w:color w:val="auto"/>
          <w:kern w:val="2"/>
          <w:sz w:val="32"/>
          <w:szCs w:val="32"/>
          <w:highlight w:val="none"/>
          <w:lang w:val="en-US" w:eastAsia="zh-CN" w:bidi="ar-SA"/>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8" w:name="bookmark12"/>
      <w:r>
        <w:rPr>
          <w:rFonts w:hint="default" w:ascii="Times New Roman" w:hAnsi="Times New Roman" w:eastAsia="黑体" w:cs="Times New Roman"/>
          <w:color w:val="000000"/>
          <w:spacing w:val="0"/>
          <w:w w:val="100"/>
          <w:position w:val="0"/>
          <w:sz w:val="32"/>
          <w:szCs w:val="32"/>
        </w:rPr>
        <w:t>五</w:t>
      </w:r>
      <w:bookmarkEnd w:id="8"/>
      <w:r>
        <w:rPr>
          <w:rFonts w:hint="default" w:ascii="Times New Roman" w:hAnsi="Times New Roman" w:eastAsia="黑体" w:cs="Times New Roman"/>
          <w:color w:val="000000"/>
          <w:spacing w:val="0"/>
          <w:w w:val="100"/>
          <w:position w:val="0"/>
          <w:sz w:val="32"/>
          <w:szCs w:val="32"/>
        </w:rPr>
        <w:t>、需要说明的事项</w:t>
      </w:r>
      <w:bookmarkStart w:id="9" w:name="bookmark17"/>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（一）地块周边基础设施已基本配套，具备动工建设所必需的条件</w:t>
      </w:r>
      <w:r>
        <w:rPr>
          <w:rFonts w:hint="eastAsia"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lang w:val="en-US" w:eastAsia="zh-CN"/>
        </w:rPr>
        <w:t>竞得人除缴交成交地价款外，还需按规定缴交契税等有关税费；</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lang w:val="en-US" w:eastAsia="zh-CN"/>
        </w:rPr>
        <w:t>）非仲恺高新区注册登记的企业竞得土地使用权的，必须在竞得土地后2个月内在仲恺高新区市场监督管理部门注册成立项目开发公司，并以该公司名义办理土地出让与登记发证手续；</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lang w:val="en-US" w:eastAsia="zh-CN"/>
        </w:rPr>
        <w:t>）</w:t>
      </w:r>
      <w:r>
        <w:rPr>
          <w:rFonts w:hint="eastAsia" w:ascii="仿宋_GB2312" w:hAnsi="仿宋_GB2312" w:eastAsia="仿宋_GB2312" w:cs="仿宋_GB2312"/>
          <w:bCs/>
          <w:kern w:val="0"/>
          <w:sz w:val="32"/>
          <w:szCs w:val="32"/>
          <w:highlight w:val="none"/>
          <w:lang w:val="en-US" w:eastAsia="zh-CN" w:bidi="ar-SA"/>
        </w:rPr>
        <w:t>竞</w:t>
      </w:r>
      <w:r>
        <w:rPr>
          <w:rFonts w:hint="default" w:ascii="仿宋_GB2312" w:hAnsi="仿宋_GB2312" w:eastAsia="仿宋_GB2312" w:cs="仿宋_GB2312"/>
          <w:bCs/>
          <w:kern w:val="0"/>
          <w:sz w:val="32"/>
          <w:szCs w:val="32"/>
          <w:highlight w:val="none"/>
          <w:lang w:val="en-US" w:eastAsia="zh-CN" w:bidi="ar-SA"/>
        </w:rPr>
        <w:t>得人须在签订《国有建设用地使用权出让合同》（以下简称“《出让合同》”）时，</w:t>
      </w:r>
      <w:r>
        <w:rPr>
          <w:rFonts w:hint="eastAsia" w:ascii="仿宋_GB2312" w:hAnsi="仿宋_GB2312" w:eastAsia="仿宋_GB2312" w:cs="仿宋_GB2312"/>
          <w:bCs/>
          <w:kern w:val="0"/>
          <w:sz w:val="32"/>
          <w:szCs w:val="32"/>
          <w:highlight w:val="none"/>
          <w:lang w:val="en-US" w:eastAsia="zh-CN" w:bidi="ar-SA"/>
        </w:rPr>
        <w:t>提交</w:t>
      </w:r>
      <w:bookmarkStart w:id="10" w:name="OLE_LINK1"/>
      <w:r>
        <w:rPr>
          <w:rFonts w:hint="default" w:ascii="仿宋_GB2312" w:hAnsi="仿宋_GB2312" w:eastAsia="仿宋_GB2312" w:cs="仿宋_GB2312"/>
          <w:bCs/>
          <w:kern w:val="0"/>
          <w:sz w:val="32"/>
          <w:szCs w:val="32"/>
          <w:highlight w:val="none"/>
          <w:lang w:val="en-US" w:eastAsia="zh-CN" w:bidi="ar-SA"/>
        </w:rPr>
        <w:t>惠州</w:t>
      </w:r>
      <w:r>
        <w:rPr>
          <w:rFonts w:hint="eastAsia" w:ascii="仿宋_GB2312" w:hAnsi="仿宋_GB2312" w:eastAsia="仿宋_GB2312" w:cs="仿宋_GB2312"/>
          <w:bCs/>
          <w:kern w:val="0"/>
          <w:sz w:val="32"/>
          <w:szCs w:val="32"/>
          <w:highlight w:val="none"/>
          <w:lang w:val="en-US" w:eastAsia="zh-CN" w:bidi="ar-SA"/>
        </w:rPr>
        <w:t>仲恺高新</w:t>
      </w:r>
      <w:r>
        <w:rPr>
          <w:rFonts w:hint="eastAsia" w:ascii="仿宋_GB2312" w:hAnsi="仿宋_GB2312" w:cs="仿宋_GB2312"/>
          <w:bCs/>
          <w:kern w:val="0"/>
          <w:sz w:val="32"/>
          <w:szCs w:val="32"/>
          <w:highlight w:val="none"/>
          <w:lang w:val="en-US" w:eastAsia="zh-CN" w:bidi="ar-SA"/>
        </w:rPr>
        <w:t>技术产业开发区</w:t>
      </w:r>
      <w:r>
        <w:rPr>
          <w:rFonts w:hint="eastAsia" w:ascii="仿宋_GB2312" w:hAnsi="仿宋_GB2312" w:eastAsia="仿宋_GB2312" w:cs="仿宋_GB2312"/>
          <w:bCs/>
          <w:kern w:val="0"/>
          <w:sz w:val="32"/>
          <w:szCs w:val="32"/>
          <w:highlight w:val="none"/>
          <w:lang w:val="en-US" w:eastAsia="zh-CN" w:bidi="ar-SA"/>
        </w:rPr>
        <w:t>科技创新局出具的与该宗地产业类型一致的优先发展产业项目文件</w:t>
      </w:r>
      <w:bookmarkEnd w:id="10"/>
      <w:r>
        <w:rPr>
          <w:rFonts w:hint="eastAsia" w:ascii="仿宋_GB2312" w:hAnsi="仿宋_GB2312" w:eastAsia="仿宋_GB2312" w:cs="仿宋_GB2312"/>
          <w:bCs/>
          <w:kern w:val="0"/>
          <w:sz w:val="32"/>
          <w:szCs w:val="32"/>
          <w:highlight w:val="none"/>
          <w:lang w:val="en-US" w:eastAsia="zh-CN" w:bidi="ar-SA"/>
        </w:rPr>
        <w:t>，并</w:t>
      </w:r>
      <w:r>
        <w:rPr>
          <w:rFonts w:hint="default" w:ascii="仿宋_GB2312" w:hAnsi="仿宋_GB2312" w:eastAsia="仿宋_GB2312" w:cs="仿宋_GB2312"/>
          <w:bCs/>
          <w:kern w:val="0"/>
          <w:sz w:val="32"/>
          <w:szCs w:val="32"/>
          <w:highlight w:val="none"/>
          <w:lang w:val="en-US" w:eastAsia="zh-CN" w:bidi="ar-SA"/>
        </w:rPr>
        <w:t>同步与</w:t>
      </w:r>
      <w:r>
        <w:rPr>
          <w:rFonts w:hint="eastAsia" w:eastAsia="仿宋_GB2312"/>
          <w:bCs/>
          <w:sz w:val="32"/>
          <w:szCs w:val="32"/>
          <w:highlight w:val="none"/>
          <w:lang w:eastAsia="zh-CN"/>
        </w:rPr>
        <w:t>惠州仲恺高新技术产业开发区管理委员会</w:t>
      </w:r>
      <w:r>
        <w:rPr>
          <w:rFonts w:hint="default" w:ascii="仿宋_GB2312" w:hAnsi="仿宋_GB2312" w:eastAsia="仿宋_GB2312" w:cs="仿宋_GB2312"/>
          <w:bCs/>
          <w:kern w:val="0"/>
          <w:sz w:val="32"/>
          <w:szCs w:val="32"/>
          <w:highlight w:val="none"/>
          <w:lang w:val="en-US" w:eastAsia="zh-CN" w:bidi="ar-SA"/>
        </w:rPr>
        <w:t>签订《</w:t>
      </w:r>
      <w:r>
        <w:rPr>
          <w:rFonts w:hint="eastAsia" w:ascii="仿宋_GB2312" w:hAnsi="仿宋_GB2312" w:eastAsia="仿宋_GB2312" w:cs="仿宋_GB2312"/>
          <w:bCs/>
          <w:kern w:val="0"/>
          <w:sz w:val="32"/>
          <w:szCs w:val="32"/>
          <w:highlight w:val="none"/>
          <w:lang w:val="en-US" w:eastAsia="zh-CN" w:bidi="ar-SA"/>
        </w:rPr>
        <w:t>仲恺高新区产业项目投资</w:t>
      </w:r>
      <w:bookmarkStart w:id="33" w:name="_GoBack"/>
      <w:bookmarkEnd w:id="33"/>
      <w:r>
        <w:rPr>
          <w:rFonts w:hint="eastAsia" w:ascii="仿宋_GB2312" w:hAnsi="仿宋_GB2312" w:eastAsia="仿宋_GB2312" w:cs="仿宋_GB2312"/>
          <w:bCs/>
          <w:kern w:val="0"/>
          <w:sz w:val="32"/>
          <w:szCs w:val="32"/>
          <w:highlight w:val="none"/>
          <w:lang w:val="en-US" w:eastAsia="zh-CN" w:bidi="ar-SA"/>
        </w:rPr>
        <w:t>建设协议书</w:t>
      </w:r>
      <w:r>
        <w:rPr>
          <w:rFonts w:hint="default" w:ascii="仿宋_GB2312" w:hAnsi="仿宋_GB2312" w:eastAsia="仿宋_GB2312" w:cs="仿宋_GB2312"/>
          <w:bCs/>
          <w:kern w:val="0"/>
          <w:sz w:val="32"/>
          <w:szCs w:val="32"/>
          <w:highlight w:val="none"/>
          <w:lang w:val="en-US" w:eastAsia="zh-CN" w:bidi="ar-SA"/>
        </w:rPr>
        <w:t>》</w:t>
      </w:r>
      <w:r>
        <w:rPr>
          <w:rFonts w:hint="default"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lang w:val="en-US" w:eastAsia="zh-CN"/>
        </w:rPr>
        <w:t>）</w:t>
      </w:r>
      <w:r>
        <w:rPr>
          <w:rFonts w:hint="default" w:ascii="仿宋_GB2312" w:hAnsi="仿宋_GB2312" w:eastAsia="仿宋_GB2312" w:cs="仿宋_GB2312"/>
          <w:bCs/>
          <w:kern w:val="0"/>
          <w:sz w:val="32"/>
          <w:szCs w:val="32"/>
          <w:highlight w:val="none"/>
          <w:lang w:val="en-US" w:eastAsia="zh-CN" w:bidi="ar-SA"/>
        </w:rPr>
        <w:t>项目未达到本</w:t>
      </w:r>
      <w:r>
        <w:rPr>
          <w:rFonts w:hint="eastAsia" w:ascii="仿宋_GB2312" w:hAnsi="仿宋_GB2312" w:eastAsia="仿宋_GB2312" w:cs="仿宋_GB2312"/>
          <w:bCs/>
          <w:kern w:val="0"/>
          <w:sz w:val="32"/>
          <w:szCs w:val="32"/>
          <w:highlight w:val="none"/>
          <w:lang w:val="en-US" w:eastAsia="zh-CN" w:bidi="ar-SA"/>
        </w:rPr>
        <w:t>公告</w:t>
      </w:r>
      <w:r>
        <w:rPr>
          <w:rFonts w:hint="default" w:ascii="仿宋_GB2312" w:hAnsi="仿宋_GB2312" w:eastAsia="仿宋_GB2312" w:cs="仿宋_GB2312"/>
          <w:bCs/>
          <w:kern w:val="0"/>
          <w:sz w:val="32"/>
          <w:szCs w:val="32"/>
          <w:highlight w:val="none"/>
          <w:lang w:val="en-US" w:eastAsia="zh-CN" w:bidi="ar-SA"/>
        </w:rPr>
        <w:t>规定的集约用地指标或者非优先发展产业的，用地单位必须按《出让合同》及《</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default" w:ascii="仿宋_GB2312" w:hAnsi="仿宋_GB2312" w:eastAsia="仿宋_GB2312" w:cs="仿宋_GB2312"/>
          <w:bCs/>
          <w:kern w:val="0"/>
          <w:sz w:val="32"/>
          <w:szCs w:val="32"/>
          <w:highlight w:val="none"/>
          <w:lang w:val="en-US" w:eastAsia="zh-CN" w:bidi="ar-SA"/>
        </w:rPr>
        <w:t>》的约定补缴土地出让金及缴交违约金,补缴土地出让金由惠州仲恺高新区国土资源分局委托评估机构进行评估确定，估价期日应以国土资源主管部门依法受理补缴地价申请时点为准；由</w:t>
      </w:r>
      <w:r>
        <w:rPr>
          <w:rFonts w:hint="eastAsia" w:eastAsia="仿宋_GB2312"/>
          <w:bCs/>
          <w:sz w:val="32"/>
          <w:szCs w:val="32"/>
          <w:highlight w:val="none"/>
          <w:lang w:eastAsia="zh-CN"/>
        </w:rPr>
        <w:t>惠州仲恺高新技术产业开发区管理委员会</w:t>
      </w:r>
      <w:r>
        <w:rPr>
          <w:rFonts w:hint="default" w:ascii="仿宋_GB2312" w:hAnsi="仿宋_GB2312" w:eastAsia="仿宋_GB2312" w:cs="仿宋_GB2312"/>
          <w:bCs/>
          <w:kern w:val="0"/>
          <w:sz w:val="32"/>
          <w:szCs w:val="32"/>
          <w:highlight w:val="none"/>
          <w:lang w:val="en-US" w:eastAsia="zh-CN" w:bidi="ar-SA"/>
        </w:rPr>
        <w:t>负责对竞得人履行《</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default" w:ascii="仿宋_GB2312" w:hAnsi="仿宋_GB2312" w:eastAsia="仿宋_GB2312" w:cs="仿宋_GB2312"/>
          <w:bCs/>
          <w:kern w:val="0"/>
          <w:sz w:val="32"/>
          <w:szCs w:val="32"/>
          <w:highlight w:val="none"/>
          <w:lang w:val="en-US" w:eastAsia="zh-CN" w:bidi="ar-SA"/>
        </w:rPr>
        <w:t>》的后续监管职责。</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 w:cs="仿宋"/>
          <w:b/>
          <w:bCs/>
          <w:color w:val="auto"/>
          <w:kern w:val="2"/>
          <w:sz w:val="32"/>
          <w:szCs w:val="32"/>
          <w:u w:val="none"/>
          <w:lang w:val="en-US" w:eastAsia="zh-CN" w:bidi="ar-SA"/>
        </w:rPr>
      </w:pPr>
      <w:r>
        <w:rPr>
          <w:rFonts w:hint="eastAsia" w:ascii="Times New Roman" w:hAnsi="Times New Roman" w:eastAsia="仿宋" w:cs="仿宋"/>
          <w:b/>
          <w:bCs/>
          <w:color w:val="auto"/>
          <w:kern w:val="2"/>
          <w:sz w:val="32"/>
          <w:szCs w:val="32"/>
          <w:u w:val="none"/>
          <w:lang w:val="en-US" w:eastAsia="zh-CN" w:bidi="ar-SA"/>
        </w:rPr>
        <w:t>六、</w:t>
      </w:r>
      <w:bookmarkEnd w:id="9"/>
      <w:r>
        <w:rPr>
          <w:rFonts w:hint="default" w:ascii="Times New Roman" w:hAnsi="Times New Roman" w:eastAsia="仿宋" w:cs="仿宋"/>
          <w:b/>
          <w:bCs/>
          <w:color w:val="auto"/>
          <w:kern w:val="2"/>
          <w:sz w:val="32"/>
          <w:szCs w:val="32"/>
          <w:u w:val="none"/>
          <w:lang w:val="en-US" w:eastAsia="zh-CN" w:bidi="ar-SA"/>
        </w:rPr>
        <w:t>竞买保证金</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1" w:name="bookmark18"/>
      <w:r>
        <w:rPr>
          <w:rFonts w:hint="default" w:ascii="Times New Roman" w:hAnsi="Times New Roman" w:eastAsia="仿宋_GB2312" w:cs="Times New Roman"/>
          <w:color w:val="000000"/>
          <w:spacing w:val="0"/>
          <w:w w:val="100"/>
          <w:position w:val="0"/>
          <w:sz w:val="32"/>
          <w:szCs w:val="32"/>
          <w:lang w:val="en-US" w:eastAsia="zh-CN"/>
        </w:rPr>
        <w:t>（</w:t>
      </w:r>
      <w:bookmarkEnd w:id="11"/>
      <w:r>
        <w:rPr>
          <w:rFonts w:hint="default" w:ascii="Times New Roman" w:hAnsi="Times New Roman" w:eastAsia="仿宋_GB2312" w:cs="Times New Roman"/>
          <w:color w:val="000000"/>
          <w:spacing w:val="0"/>
          <w:w w:val="100"/>
          <w:position w:val="0"/>
          <w:sz w:val="32"/>
          <w:szCs w:val="32"/>
          <w:lang w:val="en-US" w:eastAsia="zh-CN"/>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885</w:t>
      </w:r>
      <w:r>
        <w:rPr>
          <w:rFonts w:hint="default" w:ascii="Times New Roman" w:hAnsi="Times New Roman" w:eastAsia="仿宋_GB2312" w:cs="Times New Roman"/>
          <w:color w:val="000000"/>
          <w:spacing w:val="0"/>
          <w:w w:val="100"/>
          <w:position w:val="0"/>
          <w:sz w:val="32"/>
          <w:szCs w:val="32"/>
          <w:lang w:val="en-US" w:eastAsia="zh-CN"/>
        </w:rPr>
        <w:t>万元。</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2" w:name="bookmark19"/>
      <w:r>
        <w:rPr>
          <w:rFonts w:hint="default" w:ascii="Times New Roman" w:hAnsi="Times New Roman" w:eastAsia="仿宋_GB2312" w:cs="Times New Roman"/>
          <w:color w:val="000000"/>
          <w:spacing w:val="0"/>
          <w:w w:val="100"/>
          <w:position w:val="0"/>
          <w:sz w:val="32"/>
          <w:szCs w:val="32"/>
          <w:lang w:val="en-US" w:eastAsia="zh-CN"/>
        </w:rPr>
        <w:t>（</w:t>
      </w:r>
      <w:bookmarkEnd w:id="12"/>
      <w:r>
        <w:rPr>
          <w:rFonts w:hint="default" w:ascii="Times New Roman" w:hAnsi="Times New Roman" w:eastAsia="仿宋_GB2312" w:cs="Times New Roman"/>
          <w:color w:val="000000"/>
          <w:spacing w:val="0"/>
          <w:w w:val="100"/>
          <w:position w:val="0"/>
          <w:sz w:val="32"/>
          <w:szCs w:val="32"/>
          <w:lang w:val="en-US" w:eastAsia="zh-CN"/>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lang w:val="en-US" w:eastAsia="zh-CN"/>
        </w:rPr>
        <w:t>）获取竞买保证金支付账号。</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bookmarkStart w:id="13" w:name="bookmark20"/>
      <w:r>
        <w:rPr>
          <w:rFonts w:hint="default" w:ascii="Times New Roman" w:hAnsi="Times New Roman" w:eastAsia="仿宋_GB2312" w:cs="Times New Roman"/>
          <w:color w:val="000000"/>
          <w:spacing w:val="0"/>
          <w:w w:val="100"/>
          <w:position w:val="0"/>
          <w:sz w:val="32"/>
          <w:szCs w:val="32"/>
          <w:lang w:val="en-US" w:eastAsia="zh-CN"/>
        </w:rPr>
        <w:t>（</w:t>
      </w:r>
      <w:bookmarkEnd w:id="13"/>
      <w:r>
        <w:rPr>
          <w:rFonts w:hint="default" w:ascii="Times New Roman" w:hAnsi="Times New Roman" w:eastAsia="仿宋_GB2312" w:cs="Times New Roman"/>
          <w:color w:val="000000"/>
          <w:spacing w:val="0"/>
          <w:w w:val="100"/>
          <w:position w:val="0"/>
          <w:sz w:val="32"/>
          <w:szCs w:val="32"/>
          <w:lang w:val="en-US" w:eastAsia="zh-CN"/>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4" w:name="bookmark21"/>
      <w:r>
        <w:rPr>
          <w:rFonts w:hint="default" w:ascii="Times New Roman" w:hAnsi="Times New Roman" w:eastAsia="黑体" w:cs="Times New Roman"/>
          <w:color w:val="000000"/>
          <w:spacing w:val="0"/>
          <w:w w:val="100"/>
          <w:position w:val="0"/>
          <w:sz w:val="32"/>
          <w:szCs w:val="32"/>
        </w:rPr>
        <w:t>七</w:t>
      </w:r>
      <w:bookmarkEnd w:id="14"/>
      <w:r>
        <w:rPr>
          <w:rFonts w:hint="default" w:ascii="Times New Roman" w:hAnsi="Times New Roman" w:eastAsia="黑体" w:cs="Times New Roman"/>
          <w:color w:val="000000"/>
          <w:spacing w:val="0"/>
          <w:w w:val="100"/>
          <w:position w:val="0"/>
          <w:sz w:val="32"/>
          <w:szCs w:val="32"/>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5" w:name="bookmark22"/>
      <w:r>
        <w:rPr>
          <w:rFonts w:hint="default" w:ascii="Times New Roman" w:hAnsi="Times New Roman" w:eastAsia="黑体" w:cs="Times New Roman"/>
          <w:color w:val="000000"/>
          <w:spacing w:val="0"/>
          <w:w w:val="100"/>
          <w:position w:val="0"/>
          <w:sz w:val="32"/>
          <w:szCs w:val="32"/>
        </w:rPr>
        <w:t>八</w:t>
      </w:r>
      <w:bookmarkEnd w:id="15"/>
      <w:r>
        <w:rPr>
          <w:rFonts w:hint="default" w:ascii="Times New Roman" w:hAnsi="Times New Roman" w:eastAsia="黑体" w:cs="Times New Roman"/>
          <w:color w:val="000000"/>
          <w:spacing w:val="0"/>
          <w:w w:val="100"/>
          <w:position w:val="0"/>
          <w:sz w:val="32"/>
          <w:szCs w:val="32"/>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6" w:name="bookmark23"/>
      <w:r>
        <w:rPr>
          <w:rFonts w:hint="default" w:ascii="Times New Roman" w:hAnsi="Times New Roman" w:eastAsia="黑体" w:cs="Times New Roman"/>
          <w:color w:val="000000"/>
          <w:spacing w:val="0"/>
          <w:w w:val="100"/>
          <w:position w:val="0"/>
          <w:sz w:val="32"/>
          <w:szCs w:val="32"/>
        </w:rPr>
        <w:t>九</w:t>
      </w:r>
      <w:bookmarkEnd w:id="16"/>
      <w:r>
        <w:rPr>
          <w:rFonts w:hint="default" w:ascii="Times New Roman" w:hAnsi="Times New Roman" w:eastAsia="黑体" w:cs="Times New Roman"/>
          <w:color w:val="000000"/>
          <w:spacing w:val="0"/>
          <w:w w:val="100"/>
          <w:position w:val="0"/>
          <w:sz w:val="32"/>
          <w:szCs w:val="32"/>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r>
        <w:rPr>
          <w:rFonts w:hint="default" w:ascii="Times New Roman" w:hAnsi="Times New Roman" w:eastAsia="仿宋_GB2312" w:cs="Times New Roman"/>
          <w:color w:val="000000"/>
          <w:spacing w:val="0"/>
          <w:w w:val="100"/>
          <w:position w:val="0"/>
          <w:sz w:val="32"/>
          <w:szCs w:val="32"/>
        </w:rPr>
        <w:t>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4"/>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5"/>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6"/>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7"/>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8"/>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9"/>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bookmarkStart w:id="23" w:name="bookmark30"/>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val="en-US"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eastAsia="zh-CN"/>
        </w:rPr>
        <w:t>八</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惠</w:t>
      </w:r>
      <w:r>
        <w:rPr>
          <w:rFonts w:hint="default" w:ascii="仿宋_GB2312" w:hAnsi="仿宋_GB2312" w:eastAsia="仿宋_GB2312" w:cs="仿宋_GB2312"/>
          <w:bCs/>
          <w:kern w:val="0"/>
          <w:sz w:val="32"/>
          <w:szCs w:val="32"/>
          <w:highlight w:val="none"/>
          <w:lang w:val="en-US" w:eastAsia="zh-CN" w:bidi="ar-SA"/>
        </w:rPr>
        <w:t>州</w:t>
      </w:r>
      <w:r>
        <w:rPr>
          <w:rFonts w:hint="eastAsia" w:ascii="仿宋_GB2312" w:hAnsi="仿宋_GB2312" w:eastAsia="仿宋_GB2312" w:cs="仿宋_GB2312"/>
          <w:bCs/>
          <w:kern w:val="0"/>
          <w:sz w:val="32"/>
          <w:szCs w:val="32"/>
          <w:highlight w:val="none"/>
          <w:lang w:val="en-US" w:eastAsia="zh-CN" w:bidi="ar-SA"/>
        </w:rPr>
        <w:t>仲恺高新</w:t>
      </w:r>
      <w:r>
        <w:rPr>
          <w:rFonts w:hint="eastAsia" w:ascii="仿宋_GB2312" w:hAnsi="仿宋_GB2312" w:cs="仿宋_GB2312"/>
          <w:bCs/>
          <w:kern w:val="0"/>
          <w:sz w:val="32"/>
          <w:szCs w:val="32"/>
          <w:highlight w:val="none"/>
          <w:lang w:val="en-US" w:eastAsia="zh-CN" w:bidi="ar-SA"/>
        </w:rPr>
        <w:t>技术产业开发区</w:t>
      </w:r>
      <w:r>
        <w:rPr>
          <w:rFonts w:hint="eastAsia" w:ascii="仿宋_GB2312" w:hAnsi="仿宋_GB2312" w:eastAsia="仿宋_GB2312" w:cs="仿宋_GB2312"/>
          <w:bCs/>
          <w:kern w:val="0"/>
          <w:sz w:val="32"/>
          <w:szCs w:val="32"/>
          <w:highlight w:val="none"/>
          <w:lang w:val="en-US" w:eastAsia="zh-CN" w:bidi="ar-SA"/>
        </w:rPr>
        <w:t>科技创新局出具的与本公告宗地要求对应产业类型一致的优先发展产业项目文件复印件（核对原件）。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十一、签订成交确认书、出让合同及支付土地出让金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十二、竞买保证金退还或转付成交价款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十三、违规责任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31"/>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2"/>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3"/>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7" w:name="bookmark34"/>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十四、其他需要公告的事项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5"/>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6"/>
      <w:r>
        <w:rPr>
          <w:rFonts w:hint="default" w:ascii="Times New Roman" w:hAnsi="Times New Roman" w:eastAsia="仿宋_GB2312" w:cs="Times New Roman"/>
          <w:color w:val="000000"/>
          <w:spacing w:val="0"/>
          <w:w w:val="100"/>
          <w:position w:val="0"/>
          <w:sz w:val="32"/>
          <w:szCs w:val="32"/>
          <w:lang w:val="zh-CN" w:eastAsia="zh-CN"/>
        </w:rPr>
        <w:t>（</w:t>
      </w:r>
      <w:bookmarkEnd w:id="29"/>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7"/>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8"/>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9"/>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lang w:val="en-US" w:eastAsia="zh-CN"/>
        </w:rPr>
        <w:t>十五</w:t>
      </w:r>
      <w:r>
        <w:rPr>
          <w:rFonts w:hint="default" w:ascii="Times New Roman" w:hAnsi="Times New Roman" w:eastAsia="黑体" w:cs="Times New Roman"/>
          <w:color w:val="000000"/>
          <w:spacing w:val="0"/>
          <w:w w:val="100"/>
          <w:position w:val="0"/>
          <w:sz w:val="32"/>
          <w:szCs w:val="32"/>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赖先生</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default" w:ascii="Times New Roman" w:hAnsi="Times New Roman" w:eastAsia="仿宋_GB2312" w:cs="Times New Roman"/>
          <w:color w:val="000000"/>
          <w:spacing w:val="0"/>
          <w:w w:val="100"/>
          <w:position w:val="0"/>
          <w:sz w:val="32"/>
          <w:szCs w:val="32"/>
          <w:lang w:val="en-US" w:eastAsia="zh-CN"/>
        </w:rPr>
        <w:t>33</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w:t>
      </w:r>
      <w:r>
        <w:rPr>
          <w:rFonts w:hint="eastAsia" w:ascii="Times New Roman" w:hAnsi="Times New Roman" w:eastAsia="仿宋_GB2312" w:cs="Times New Roman"/>
          <w:color w:val="000000"/>
          <w:spacing w:val="0"/>
          <w:w w:val="100"/>
          <w:position w:val="0"/>
          <w:sz w:val="32"/>
          <w:szCs w:val="32"/>
          <w:lang w:eastAsia="zh-CN"/>
        </w:rPr>
        <w:t>先生</w:t>
      </w:r>
      <w:r>
        <w:rPr>
          <w:rFonts w:hint="default" w:ascii="Times New Roman" w:hAnsi="Times New Roman" w:eastAsia="仿宋_GB2312" w:cs="Times New Roman"/>
          <w:color w:val="000000"/>
          <w:spacing w:val="0"/>
          <w:w w:val="100"/>
          <w:position w:val="0"/>
          <w:sz w:val="32"/>
          <w:szCs w:val="32"/>
          <w:lang w:val="en-US" w:eastAsia="zh-CN"/>
        </w:rPr>
        <w:t xml:space="preserve"> 房</w:t>
      </w:r>
      <w:r>
        <w:rPr>
          <w:rFonts w:hint="eastAsia" w:ascii="Times New Roman" w:hAnsi="Times New Roman" w:eastAsia="仿宋_GB2312" w:cs="Times New Roman"/>
          <w:color w:val="000000"/>
          <w:spacing w:val="0"/>
          <w:w w:val="100"/>
          <w:position w:val="0"/>
          <w:sz w:val="32"/>
          <w:szCs w:val="32"/>
          <w:lang w:val="en-US" w:eastAsia="zh-CN"/>
        </w:rPr>
        <w:t>小姐</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2"/>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u w:val="none"/>
          <w:lang w:val="en-US" w:eastAsia="zh-CN"/>
        </w:rPr>
        <w:t xml:space="preserve">日       </w:t>
      </w:r>
    </w:p>
    <w:p>
      <w:pPr>
        <w:pStyle w:val="5"/>
        <w:wordWrap/>
        <w:ind w:left="0" w:leftChars="0" w:firstLine="0" w:firstLineChars="0"/>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tabs>
          <w:tab w:val="left" w:pos="11340"/>
        </w:tabs>
        <w:spacing w:line="0" w:lineRule="atLeast"/>
        <w:jc w:val="center"/>
        <w:rPr>
          <w:rFonts w:eastAsia="仿宋_GB2312"/>
          <w:color w:val="auto"/>
          <w:sz w:val="32"/>
          <w:szCs w:val="32"/>
        </w:rPr>
      </w:pPr>
      <w:r>
        <w:rPr>
          <w:rFonts w:eastAsia="方正小标宋简体"/>
          <w:color w:val="auto"/>
          <w:sz w:val="32"/>
          <w:szCs w:val="32"/>
        </w:rPr>
        <w:t>挂牌起始价及地块规划建设要求等主要指标附表</w:t>
      </w: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3"/>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0"/>
              <w:spacing w:line="0" w:lineRule="atLeast"/>
              <w:jc w:val="center"/>
              <w:rPr>
                <w:sz w:val="18"/>
                <w:szCs w:val="18"/>
              </w:rPr>
            </w:pPr>
            <w:r>
              <w:rPr>
                <w:sz w:val="18"/>
                <w:szCs w:val="18"/>
              </w:rPr>
              <w:t>地块挂牌编号</w:t>
            </w:r>
          </w:p>
        </w:tc>
        <w:tc>
          <w:tcPr>
            <w:tcW w:w="709"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位置</w:t>
            </w:r>
          </w:p>
        </w:tc>
        <w:tc>
          <w:tcPr>
            <w:tcW w:w="661" w:type="dxa"/>
            <w:vMerge w:val="restart"/>
            <w:vAlign w:val="center"/>
          </w:tcPr>
          <w:p>
            <w:pPr>
              <w:pStyle w:val="10"/>
              <w:spacing w:line="0" w:lineRule="atLeast"/>
              <w:jc w:val="center"/>
              <w:rPr>
                <w:sz w:val="18"/>
                <w:szCs w:val="18"/>
              </w:rPr>
            </w:pPr>
            <w:r>
              <w:rPr>
                <w:sz w:val="18"/>
                <w:szCs w:val="18"/>
              </w:rPr>
              <w:t>用地</w:t>
            </w:r>
          </w:p>
          <w:p>
            <w:pPr>
              <w:pStyle w:val="10"/>
              <w:spacing w:line="0" w:lineRule="atLeast"/>
              <w:jc w:val="center"/>
              <w:rPr>
                <w:sz w:val="18"/>
                <w:szCs w:val="18"/>
              </w:rPr>
            </w:pPr>
            <w:r>
              <w:rPr>
                <w:sz w:val="18"/>
                <w:szCs w:val="18"/>
              </w:rPr>
              <w:t>编号</w:t>
            </w:r>
          </w:p>
        </w:tc>
        <w:tc>
          <w:tcPr>
            <w:tcW w:w="640" w:type="dxa"/>
            <w:vMerge w:val="restart"/>
            <w:vAlign w:val="center"/>
          </w:tcPr>
          <w:p>
            <w:pPr>
              <w:pStyle w:val="10"/>
              <w:spacing w:line="0" w:lineRule="atLeast"/>
              <w:jc w:val="center"/>
              <w:rPr>
                <w:sz w:val="18"/>
                <w:szCs w:val="18"/>
              </w:rPr>
            </w:pPr>
            <w:r>
              <w:rPr>
                <w:sz w:val="18"/>
                <w:szCs w:val="18"/>
              </w:rPr>
              <w:t>宗地总面积（㎡）</w:t>
            </w:r>
          </w:p>
        </w:tc>
        <w:tc>
          <w:tcPr>
            <w:tcW w:w="487"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用途</w:t>
            </w:r>
          </w:p>
        </w:tc>
        <w:tc>
          <w:tcPr>
            <w:tcW w:w="4610" w:type="dxa"/>
            <w:gridSpan w:val="6"/>
            <w:vAlign w:val="center"/>
          </w:tcPr>
          <w:p>
            <w:pPr>
              <w:pStyle w:val="10"/>
              <w:spacing w:line="0" w:lineRule="atLeast"/>
              <w:jc w:val="center"/>
              <w:rPr>
                <w:sz w:val="18"/>
                <w:szCs w:val="18"/>
              </w:rPr>
            </w:pPr>
            <w:r>
              <w:rPr>
                <w:sz w:val="18"/>
                <w:szCs w:val="18"/>
              </w:rPr>
              <w:t>规划指标</w:t>
            </w:r>
          </w:p>
        </w:tc>
        <w:tc>
          <w:tcPr>
            <w:tcW w:w="714" w:type="dxa"/>
            <w:vMerge w:val="restart"/>
            <w:vAlign w:val="center"/>
          </w:tcPr>
          <w:p>
            <w:pPr>
              <w:pStyle w:val="10"/>
              <w:spacing w:line="0" w:lineRule="atLeast"/>
              <w:jc w:val="center"/>
              <w:rPr>
                <w:sz w:val="18"/>
                <w:szCs w:val="18"/>
              </w:rPr>
            </w:pPr>
            <w:r>
              <w:rPr>
                <w:sz w:val="18"/>
                <w:szCs w:val="18"/>
              </w:rPr>
              <w:t>出让</w:t>
            </w:r>
          </w:p>
          <w:p>
            <w:pPr>
              <w:pStyle w:val="10"/>
              <w:spacing w:line="0" w:lineRule="atLeast"/>
              <w:jc w:val="center"/>
              <w:rPr>
                <w:sz w:val="18"/>
                <w:szCs w:val="18"/>
              </w:rPr>
            </w:pPr>
            <w:r>
              <w:rPr>
                <w:sz w:val="18"/>
                <w:szCs w:val="18"/>
              </w:rPr>
              <w:t>年限（年）</w:t>
            </w:r>
          </w:p>
        </w:tc>
        <w:tc>
          <w:tcPr>
            <w:tcW w:w="714" w:type="dxa"/>
            <w:vMerge w:val="restart"/>
            <w:vAlign w:val="center"/>
          </w:tcPr>
          <w:p>
            <w:pPr>
              <w:pStyle w:val="10"/>
              <w:spacing w:line="0" w:lineRule="atLeast"/>
              <w:jc w:val="center"/>
              <w:rPr>
                <w:sz w:val="18"/>
                <w:szCs w:val="18"/>
              </w:rPr>
            </w:pPr>
            <w:r>
              <w:rPr>
                <w:sz w:val="18"/>
                <w:szCs w:val="18"/>
              </w:rPr>
              <w:t>挂牌</w:t>
            </w:r>
          </w:p>
          <w:p>
            <w:pPr>
              <w:pStyle w:val="10"/>
              <w:spacing w:line="0" w:lineRule="atLeast"/>
              <w:jc w:val="center"/>
              <w:rPr>
                <w:sz w:val="18"/>
                <w:szCs w:val="18"/>
              </w:rPr>
            </w:pPr>
            <w:r>
              <w:rPr>
                <w:sz w:val="18"/>
                <w:szCs w:val="18"/>
              </w:rPr>
              <w:t>起始价</w:t>
            </w:r>
          </w:p>
          <w:p>
            <w:pPr>
              <w:pStyle w:val="10"/>
              <w:spacing w:line="0" w:lineRule="atLeast"/>
              <w:jc w:val="center"/>
              <w:rPr>
                <w:sz w:val="18"/>
                <w:szCs w:val="18"/>
              </w:rPr>
            </w:pPr>
            <w:r>
              <w:rPr>
                <w:sz w:val="18"/>
                <w:szCs w:val="18"/>
              </w:rPr>
              <w:t>（万元）</w:t>
            </w:r>
          </w:p>
        </w:tc>
        <w:tc>
          <w:tcPr>
            <w:tcW w:w="743" w:type="dxa"/>
            <w:vMerge w:val="restart"/>
            <w:vAlign w:val="center"/>
          </w:tcPr>
          <w:p>
            <w:pPr>
              <w:pStyle w:val="10"/>
              <w:spacing w:line="0" w:lineRule="atLeast"/>
              <w:jc w:val="center"/>
              <w:rPr>
                <w:sz w:val="18"/>
                <w:szCs w:val="18"/>
              </w:rPr>
            </w:pPr>
            <w:r>
              <w:rPr>
                <w:sz w:val="18"/>
                <w:szCs w:val="18"/>
              </w:rPr>
              <w:t>加价</w:t>
            </w:r>
          </w:p>
          <w:p>
            <w:pPr>
              <w:pStyle w:val="10"/>
              <w:spacing w:line="0" w:lineRule="atLeast"/>
              <w:jc w:val="center"/>
              <w:rPr>
                <w:sz w:val="18"/>
                <w:szCs w:val="18"/>
              </w:rPr>
            </w:pPr>
            <w:r>
              <w:rPr>
                <w:sz w:val="18"/>
                <w:szCs w:val="18"/>
              </w:rPr>
              <w:t>幅度</w:t>
            </w:r>
          </w:p>
          <w:p>
            <w:pPr>
              <w:pStyle w:val="10"/>
              <w:spacing w:line="0" w:lineRule="atLeast"/>
              <w:jc w:val="center"/>
              <w:rPr>
                <w:sz w:val="18"/>
                <w:szCs w:val="18"/>
              </w:rPr>
            </w:pPr>
            <w:r>
              <w:rPr>
                <w:sz w:val="18"/>
                <w:szCs w:val="18"/>
              </w:rPr>
              <w:t>（万元）</w:t>
            </w:r>
          </w:p>
        </w:tc>
        <w:tc>
          <w:tcPr>
            <w:tcW w:w="670" w:type="dxa"/>
            <w:vMerge w:val="restart"/>
            <w:vAlign w:val="center"/>
          </w:tcPr>
          <w:p>
            <w:pPr>
              <w:pStyle w:val="10"/>
              <w:spacing w:line="0" w:lineRule="atLeast"/>
              <w:jc w:val="center"/>
              <w:rPr>
                <w:sz w:val="18"/>
                <w:szCs w:val="18"/>
              </w:rPr>
            </w:pPr>
            <w:r>
              <w:rPr>
                <w:sz w:val="18"/>
                <w:szCs w:val="18"/>
              </w:rPr>
              <w:t>竞买</w:t>
            </w:r>
          </w:p>
          <w:p>
            <w:pPr>
              <w:pStyle w:val="10"/>
              <w:spacing w:line="0" w:lineRule="atLeast"/>
              <w:jc w:val="center"/>
              <w:rPr>
                <w:sz w:val="18"/>
                <w:szCs w:val="18"/>
              </w:rPr>
            </w:pPr>
            <w:r>
              <w:rPr>
                <w:sz w:val="18"/>
                <w:szCs w:val="18"/>
              </w:rPr>
              <w:t>保证金</w:t>
            </w:r>
          </w:p>
          <w:p>
            <w:pPr>
              <w:pStyle w:val="10"/>
              <w:spacing w:line="0" w:lineRule="atLeast"/>
              <w:jc w:val="center"/>
              <w:rPr>
                <w:sz w:val="18"/>
                <w:szCs w:val="18"/>
              </w:rPr>
            </w:pPr>
            <w:r>
              <w:rPr>
                <w:sz w:val="18"/>
                <w:szCs w:val="18"/>
              </w:rPr>
              <w:t>（万元）</w:t>
            </w:r>
          </w:p>
        </w:tc>
        <w:tc>
          <w:tcPr>
            <w:tcW w:w="772" w:type="dxa"/>
            <w:vMerge w:val="restart"/>
            <w:vAlign w:val="center"/>
          </w:tcPr>
          <w:p>
            <w:pPr>
              <w:pStyle w:val="10"/>
              <w:spacing w:line="0" w:lineRule="atLeast"/>
              <w:jc w:val="center"/>
              <w:rPr>
                <w:sz w:val="18"/>
                <w:szCs w:val="18"/>
              </w:rPr>
            </w:pPr>
            <w:r>
              <w:rPr>
                <w:sz w:val="18"/>
                <w:szCs w:val="18"/>
              </w:rPr>
              <w:t>保证金截止时间</w:t>
            </w:r>
          </w:p>
        </w:tc>
        <w:tc>
          <w:tcPr>
            <w:tcW w:w="773" w:type="dxa"/>
            <w:vMerge w:val="restart"/>
            <w:vAlign w:val="center"/>
          </w:tcPr>
          <w:p>
            <w:pPr>
              <w:pStyle w:val="10"/>
              <w:spacing w:line="0" w:lineRule="atLeast"/>
              <w:jc w:val="center"/>
              <w:rPr>
                <w:sz w:val="18"/>
                <w:szCs w:val="18"/>
              </w:rPr>
            </w:pPr>
            <w:r>
              <w:rPr>
                <w:sz w:val="18"/>
                <w:szCs w:val="18"/>
              </w:rPr>
              <w:t>投资强度</w:t>
            </w:r>
          </w:p>
        </w:tc>
        <w:tc>
          <w:tcPr>
            <w:tcW w:w="1230" w:type="dxa"/>
            <w:vMerge w:val="restart"/>
            <w:vAlign w:val="center"/>
          </w:tcPr>
          <w:p>
            <w:pPr>
              <w:pStyle w:val="10"/>
              <w:spacing w:line="0" w:lineRule="atLeast"/>
              <w:jc w:val="center"/>
              <w:rPr>
                <w:sz w:val="18"/>
                <w:szCs w:val="18"/>
              </w:rPr>
            </w:pPr>
            <w:r>
              <w:rPr>
                <w:sz w:val="18"/>
                <w:szCs w:val="18"/>
              </w:rPr>
              <w:t>产业类型</w:t>
            </w:r>
          </w:p>
        </w:tc>
        <w:tc>
          <w:tcPr>
            <w:tcW w:w="1095" w:type="dxa"/>
            <w:vMerge w:val="restart"/>
            <w:vAlign w:val="center"/>
          </w:tcPr>
          <w:p>
            <w:pPr>
              <w:pStyle w:val="10"/>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0"/>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0"/>
              <w:spacing w:line="0" w:lineRule="atLeast"/>
              <w:jc w:val="center"/>
              <w:rPr>
                <w:sz w:val="18"/>
                <w:szCs w:val="18"/>
              </w:rPr>
            </w:pPr>
          </w:p>
        </w:tc>
        <w:tc>
          <w:tcPr>
            <w:tcW w:w="709" w:type="dxa"/>
            <w:vMerge w:val="continue"/>
          </w:tcPr>
          <w:p>
            <w:pPr>
              <w:pStyle w:val="10"/>
              <w:spacing w:line="0" w:lineRule="atLeast"/>
              <w:jc w:val="center"/>
              <w:rPr>
                <w:sz w:val="18"/>
                <w:szCs w:val="18"/>
              </w:rPr>
            </w:pPr>
          </w:p>
        </w:tc>
        <w:tc>
          <w:tcPr>
            <w:tcW w:w="661" w:type="dxa"/>
            <w:vMerge w:val="continue"/>
          </w:tcPr>
          <w:p>
            <w:pPr>
              <w:pStyle w:val="10"/>
              <w:spacing w:line="0" w:lineRule="atLeast"/>
              <w:jc w:val="center"/>
              <w:rPr>
                <w:sz w:val="18"/>
                <w:szCs w:val="18"/>
              </w:rPr>
            </w:pPr>
          </w:p>
        </w:tc>
        <w:tc>
          <w:tcPr>
            <w:tcW w:w="640" w:type="dxa"/>
            <w:vMerge w:val="continue"/>
          </w:tcPr>
          <w:p>
            <w:pPr>
              <w:pStyle w:val="10"/>
              <w:spacing w:line="0" w:lineRule="atLeast"/>
              <w:jc w:val="center"/>
              <w:rPr>
                <w:sz w:val="18"/>
                <w:szCs w:val="18"/>
              </w:rPr>
            </w:pPr>
          </w:p>
        </w:tc>
        <w:tc>
          <w:tcPr>
            <w:tcW w:w="487" w:type="dxa"/>
            <w:vMerge w:val="continue"/>
            <w:vAlign w:val="center"/>
          </w:tcPr>
          <w:p>
            <w:pPr>
              <w:pStyle w:val="10"/>
              <w:spacing w:line="0" w:lineRule="atLeast"/>
              <w:jc w:val="center"/>
              <w:rPr>
                <w:sz w:val="18"/>
                <w:szCs w:val="18"/>
              </w:rPr>
            </w:pPr>
          </w:p>
        </w:tc>
        <w:tc>
          <w:tcPr>
            <w:tcW w:w="695" w:type="dxa"/>
            <w:vAlign w:val="center"/>
          </w:tcPr>
          <w:p>
            <w:pPr>
              <w:pStyle w:val="10"/>
              <w:spacing w:line="0" w:lineRule="atLeast"/>
              <w:jc w:val="center"/>
              <w:rPr>
                <w:sz w:val="18"/>
                <w:szCs w:val="18"/>
              </w:rPr>
            </w:pPr>
            <w:r>
              <w:rPr>
                <w:sz w:val="18"/>
                <w:szCs w:val="18"/>
              </w:rPr>
              <w:t>计算指标用地面积（㎡）</w:t>
            </w:r>
          </w:p>
        </w:tc>
        <w:tc>
          <w:tcPr>
            <w:tcW w:w="755" w:type="dxa"/>
            <w:vAlign w:val="center"/>
          </w:tcPr>
          <w:p>
            <w:pPr>
              <w:pStyle w:val="10"/>
              <w:spacing w:line="0" w:lineRule="atLeast"/>
              <w:jc w:val="center"/>
              <w:rPr>
                <w:sz w:val="18"/>
                <w:szCs w:val="18"/>
              </w:rPr>
            </w:pPr>
            <w:r>
              <w:rPr>
                <w:sz w:val="18"/>
                <w:szCs w:val="18"/>
              </w:rPr>
              <w:t>容积率R</w:t>
            </w:r>
          </w:p>
        </w:tc>
        <w:tc>
          <w:tcPr>
            <w:tcW w:w="1000" w:type="dxa"/>
            <w:vAlign w:val="center"/>
          </w:tcPr>
          <w:p>
            <w:pPr>
              <w:pStyle w:val="10"/>
              <w:spacing w:line="0" w:lineRule="atLeast"/>
              <w:jc w:val="center"/>
              <w:rPr>
                <w:sz w:val="18"/>
                <w:szCs w:val="18"/>
              </w:rPr>
            </w:pPr>
            <w:r>
              <w:rPr>
                <w:sz w:val="18"/>
                <w:szCs w:val="18"/>
              </w:rPr>
              <w:t>计容建筑面积S（㎡）</w:t>
            </w:r>
          </w:p>
        </w:tc>
        <w:tc>
          <w:tcPr>
            <w:tcW w:w="559" w:type="dxa"/>
            <w:vAlign w:val="center"/>
          </w:tcPr>
          <w:p>
            <w:pPr>
              <w:pStyle w:val="10"/>
              <w:spacing w:line="0" w:lineRule="atLeast"/>
              <w:jc w:val="center"/>
              <w:rPr>
                <w:sz w:val="18"/>
                <w:szCs w:val="18"/>
              </w:rPr>
            </w:pPr>
            <w:r>
              <w:rPr>
                <w:sz w:val="18"/>
                <w:szCs w:val="18"/>
              </w:rPr>
              <w:t>建筑系数（%）</w:t>
            </w:r>
          </w:p>
        </w:tc>
        <w:tc>
          <w:tcPr>
            <w:tcW w:w="747" w:type="dxa"/>
            <w:vAlign w:val="center"/>
          </w:tcPr>
          <w:p>
            <w:pPr>
              <w:pStyle w:val="10"/>
              <w:spacing w:line="0" w:lineRule="atLeast"/>
              <w:jc w:val="center"/>
              <w:rPr>
                <w:sz w:val="18"/>
                <w:szCs w:val="18"/>
              </w:rPr>
            </w:pPr>
            <w:r>
              <w:rPr>
                <w:sz w:val="18"/>
                <w:szCs w:val="18"/>
              </w:rPr>
              <w:t>绿地率（%）</w:t>
            </w:r>
          </w:p>
        </w:tc>
        <w:tc>
          <w:tcPr>
            <w:tcW w:w="854" w:type="dxa"/>
            <w:vAlign w:val="center"/>
          </w:tcPr>
          <w:p>
            <w:pPr>
              <w:pStyle w:val="10"/>
              <w:spacing w:line="0" w:lineRule="atLeast"/>
              <w:jc w:val="center"/>
              <w:rPr>
                <w:sz w:val="18"/>
                <w:szCs w:val="18"/>
              </w:rPr>
            </w:pPr>
            <w:r>
              <w:rPr>
                <w:sz w:val="18"/>
                <w:szCs w:val="18"/>
              </w:rPr>
              <w:t>机动车停车位配建要求</w:t>
            </w:r>
          </w:p>
        </w:tc>
        <w:tc>
          <w:tcPr>
            <w:tcW w:w="714" w:type="dxa"/>
            <w:vMerge w:val="continue"/>
          </w:tcPr>
          <w:p>
            <w:pPr>
              <w:pStyle w:val="10"/>
              <w:spacing w:line="0" w:lineRule="atLeast"/>
              <w:jc w:val="center"/>
              <w:rPr>
                <w:sz w:val="18"/>
                <w:szCs w:val="18"/>
              </w:rPr>
            </w:pPr>
          </w:p>
        </w:tc>
        <w:tc>
          <w:tcPr>
            <w:tcW w:w="714" w:type="dxa"/>
            <w:vMerge w:val="continue"/>
          </w:tcPr>
          <w:p>
            <w:pPr>
              <w:pStyle w:val="10"/>
              <w:spacing w:line="0" w:lineRule="atLeast"/>
              <w:jc w:val="center"/>
              <w:rPr>
                <w:sz w:val="18"/>
                <w:szCs w:val="18"/>
              </w:rPr>
            </w:pPr>
          </w:p>
        </w:tc>
        <w:tc>
          <w:tcPr>
            <w:tcW w:w="743" w:type="dxa"/>
            <w:vMerge w:val="continue"/>
          </w:tcPr>
          <w:p>
            <w:pPr>
              <w:pStyle w:val="10"/>
              <w:spacing w:line="0" w:lineRule="atLeast"/>
              <w:jc w:val="center"/>
              <w:rPr>
                <w:sz w:val="18"/>
                <w:szCs w:val="18"/>
              </w:rPr>
            </w:pPr>
          </w:p>
        </w:tc>
        <w:tc>
          <w:tcPr>
            <w:tcW w:w="670" w:type="dxa"/>
            <w:vMerge w:val="continue"/>
          </w:tcPr>
          <w:p>
            <w:pPr>
              <w:pStyle w:val="10"/>
              <w:spacing w:line="0" w:lineRule="atLeast"/>
              <w:jc w:val="center"/>
              <w:rPr>
                <w:sz w:val="18"/>
                <w:szCs w:val="18"/>
              </w:rPr>
            </w:pPr>
          </w:p>
        </w:tc>
        <w:tc>
          <w:tcPr>
            <w:tcW w:w="772" w:type="dxa"/>
            <w:vMerge w:val="continue"/>
          </w:tcPr>
          <w:p>
            <w:pPr>
              <w:pStyle w:val="10"/>
              <w:spacing w:line="0" w:lineRule="atLeast"/>
              <w:jc w:val="center"/>
              <w:rPr>
                <w:sz w:val="18"/>
                <w:szCs w:val="18"/>
              </w:rPr>
            </w:pPr>
          </w:p>
        </w:tc>
        <w:tc>
          <w:tcPr>
            <w:tcW w:w="773" w:type="dxa"/>
            <w:vMerge w:val="continue"/>
          </w:tcPr>
          <w:p>
            <w:pPr>
              <w:pStyle w:val="10"/>
              <w:spacing w:line="0" w:lineRule="atLeast"/>
              <w:jc w:val="center"/>
              <w:rPr>
                <w:sz w:val="18"/>
                <w:szCs w:val="18"/>
              </w:rPr>
            </w:pPr>
          </w:p>
        </w:tc>
        <w:tc>
          <w:tcPr>
            <w:tcW w:w="1230"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12</w:t>
            </w:r>
            <w:r>
              <w:rPr>
                <w:sz w:val="18"/>
                <w:szCs w:val="18"/>
              </w:rPr>
              <w:t>号</w:t>
            </w:r>
          </w:p>
        </w:tc>
        <w:tc>
          <w:tcPr>
            <w:tcW w:w="709" w:type="dxa"/>
            <w:vAlign w:val="center"/>
          </w:tcPr>
          <w:p>
            <w:pPr>
              <w:pStyle w:val="10"/>
              <w:spacing w:line="0" w:lineRule="atLeast"/>
              <w:jc w:val="center"/>
              <w:rPr>
                <w:kern w:val="0"/>
                <w:sz w:val="18"/>
                <w:szCs w:val="18"/>
              </w:rPr>
            </w:pPr>
            <w:r>
              <w:rPr>
                <w:rFonts w:hint="eastAsia"/>
                <w:sz w:val="18"/>
                <w:szCs w:val="18"/>
              </w:rPr>
              <w:t>惠州仲恺高新区357创新产业带青春片区</w:t>
            </w:r>
          </w:p>
        </w:tc>
        <w:tc>
          <w:tcPr>
            <w:tcW w:w="661" w:type="dxa"/>
            <w:vAlign w:val="center"/>
          </w:tcPr>
          <w:p>
            <w:pPr>
              <w:pStyle w:val="10"/>
              <w:spacing w:line="0" w:lineRule="atLeast"/>
              <w:jc w:val="center"/>
              <w:rPr>
                <w:kern w:val="0"/>
                <w:sz w:val="18"/>
                <w:szCs w:val="18"/>
              </w:rPr>
            </w:pPr>
            <w:r>
              <w:rPr>
                <w:rFonts w:hint="eastAsia"/>
                <w:sz w:val="18"/>
                <w:szCs w:val="18"/>
              </w:rPr>
              <w:t>ZKQC-01-01-02</w:t>
            </w:r>
          </w:p>
        </w:tc>
        <w:tc>
          <w:tcPr>
            <w:tcW w:w="640" w:type="dxa"/>
            <w:vAlign w:val="center"/>
          </w:tcPr>
          <w:p>
            <w:pPr>
              <w:pStyle w:val="10"/>
              <w:spacing w:line="0" w:lineRule="atLeast"/>
              <w:jc w:val="center"/>
              <w:rPr>
                <w:kern w:val="0"/>
                <w:sz w:val="18"/>
                <w:szCs w:val="18"/>
              </w:rPr>
            </w:pPr>
            <w:r>
              <w:rPr>
                <w:rFonts w:hint="eastAsia"/>
                <w:sz w:val="18"/>
                <w:szCs w:val="18"/>
                <w:lang w:val="en-US" w:eastAsia="zh-CN"/>
              </w:rPr>
              <w:t>42453</w:t>
            </w:r>
            <w:r>
              <w:rPr>
                <w:sz w:val="18"/>
                <w:szCs w:val="18"/>
              </w:rPr>
              <w:t>（其中使用权面积为</w:t>
            </w:r>
            <w:r>
              <w:rPr>
                <w:rFonts w:hint="eastAsia"/>
                <w:sz w:val="18"/>
                <w:szCs w:val="18"/>
                <w:lang w:val="en-US" w:eastAsia="zh-CN"/>
              </w:rPr>
              <w:t>27968</w:t>
            </w:r>
            <w:r>
              <w:rPr>
                <w:sz w:val="18"/>
                <w:szCs w:val="18"/>
              </w:rPr>
              <w:t>㎡）</w:t>
            </w:r>
          </w:p>
        </w:tc>
        <w:tc>
          <w:tcPr>
            <w:tcW w:w="487" w:type="dxa"/>
            <w:vAlign w:val="center"/>
          </w:tcPr>
          <w:p>
            <w:pPr>
              <w:pStyle w:val="10"/>
              <w:spacing w:line="0" w:lineRule="atLeast"/>
              <w:jc w:val="center"/>
              <w:rPr>
                <w:kern w:val="0"/>
                <w:sz w:val="18"/>
                <w:szCs w:val="18"/>
              </w:rPr>
            </w:pPr>
            <w:r>
              <w:rPr>
                <w:sz w:val="18"/>
                <w:szCs w:val="18"/>
              </w:rPr>
              <w:t>工业用地</w:t>
            </w:r>
          </w:p>
        </w:tc>
        <w:tc>
          <w:tcPr>
            <w:tcW w:w="695"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42453</w:t>
            </w:r>
          </w:p>
        </w:tc>
        <w:tc>
          <w:tcPr>
            <w:tcW w:w="755"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2.0</w:t>
            </w:r>
            <w:r>
              <w:rPr>
                <w:sz w:val="18"/>
                <w:szCs w:val="18"/>
              </w:rPr>
              <w:t>≤R≤</w:t>
            </w:r>
            <w:r>
              <w:rPr>
                <w:rFonts w:hint="eastAsia"/>
                <w:sz w:val="18"/>
                <w:szCs w:val="18"/>
                <w:lang w:val="en-US" w:eastAsia="zh-CN"/>
              </w:rPr>
              <w:t>3.0</w:t>
            </w:r>
          </w:p>
        </w:tc>
        <w:tc>
          <w:tcPr>
            <w:tcW w:w="1000"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84906</w:t>
            </w:r>
            <w:r>
              <w:rPr>
                <w:sz w:val="18"/>
                <w:szCs w:val="18"/>
              </w:rPr>
              <w:t>≤S≤</w:t>
            </w:r>
            <w:r>
              <w:rPr>
                <w:rFonts w:hint="eastAsia"/>
                <w:sz w:val="18"/>
                <w:szCs w:val="18"/>
                <w:lang w:val="en-US" w:eastAsia="zh-CN"/>
              </w:rPr>
              <w:t>127359</w:t>
            </w:r>
          </w:p>
        </w:tc>
        <w:tc>
          <w:tcPr>
            <w:tcW w:w="559" w:type="dxa"/>
            <w:vAlign w:val="center"/>
          </w:tcPr>
          <w:p>
            <w:pPr>
              <w:pStyle w:val="10"/>
              <w:spacing w:line="0" w:lineRule="atLeast"/>
              <w:jc w:val="center"/>
              <w:rPr>
                <w:kern w:val="0"/>
                <w:sz w:val="18"/>
                <w:szCs w:val="18"/>
              </w:rPr>
            </w:pPr>
            <w:r>
              <w:rPr>
                <w:sz w:val="18"/>
                <w:szCs w:val="18"/>
              </w:rPr>
              <w:t>≥30</w:t>
            </w:r>
          </w:p>
        </w:tc>
        <w:tc>
          <w:tcPr>
            <w:tcW w:w="747" w:type="dxa"/>
            <w:vAlign w:val="center"/>
          </w:tcPr>
          <w:p>
            <w:pPr>
              <w:pStyle w:val="10"/>
              <w:spacing w:line="0" w:lineRule="atLeast"/>
              <w:jc w:val="center"/>
              <w:rPr>
                <w:kern w:val="0"/>
                <w:sz w:val="18"/>
                <w:szCs w:val="18"/>
              </w:rPr>
            </w:pPr>
            <w:r>
              <w:rPr>
                <w:sz w:val="18"/>
                <w:szCs w:val="18"/>
              </w:rPr>
              <w:t>15≤绿地率≤20</w:t>
            </w:r>
          </w:p>
        </w:tc>
        <w:tc>
          <w:tcPr>
            <w:tcW w:w="854" w:type="dxa"/>
            <w:vAlign w:val="center"/>
          </w:tcPr>
          <w:p>
            <w:pPr>
              <w:pStyle w:val="10"/>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kern w:val="0"/>
                <w:sz w:val="18"/>
                <w:szCs w:val="18"/>
              </w:rPr>
            </w:pPr>
            <w:r>
              <w:rPr>
                <w:rFonts w:hint="eastAsia"/>
                <w:sz w:val="18"/>
                <w:szCs w:val="18"/>
              </w:rPr>
              <w:t>50</w:t>
            </w:r>
          </w:p>
        </w:tc>
        <w:tc>
          <w:tcPr>
            <w:tcW w:w="714"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4422</w:t>
            </w:r>
          </w:p>
        </w:tc>
        <w:tc>
          <w:tcPr>
            <w:tcW w:w="743"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50</w:t>
            </w:r>
          </w:p>
        </w:tc>
        <w:tc>
          <w:tcPr>
            <w:tcW w:w="670" w:type="dxa"/>
            <w:vAlign w:val="center"/>
          </w:tcPr>
          <w:p>
            <w:pPr>
              <w:pStyle w:val="10"/>
              <w:spacing w:line="0" w:lineRule="atLeast"/>
              <w:jc w:val="center"/>
              <w:rPr>
                <w:rFonts w:hint="default" w:eastAsia="宋体"/>
                <w:kern w:val="0"/>
                <w:sz w:val="18"/>
                <w:szCs w:val="18"/>
                <w:lang w:val="en-US" w:eastAsia="zh-CN"/>
              </w:rPr>
            </w:pPr>
            <w:r>
              <w:rPr>
                <w:rFonts w:hint="eastAsia"/>
                <w:sz w:val="18"/>
                <w:szCs w:val="18"/>
                <w:lang w:val="en-US" w:eastAsia="zh-CN"/>
              </w:rPr>
              <w:t>885</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rFonts w:hint="eastAsia"/>
                <w:sz w:val="18"/>
                <w:szCs w:val="18"/>
                <w:lang w:val="en-US" w:eastAsia="zh-CN"/>
              </w:rPr>
              <w:t>3</w:t>
            </w:r>
            <w:r>
              <w:rPr>
                <w:rFonts w:hint="eastAsia"/>
                <w:sz w:val="18"/>
                <w:szCs w:val="18"/>
              </w:rPr>
              <w:t>月</w:t>
            </w:r>
            <w:r>
              <w:rPr>
                <w:rFonts w:hint="eastAsia"/>
                <w:sz w:val="18"/>
                <w:szCs w:val="18"/>
                <w:lang w:val="en-US" w:eastAsia="zh-CN"/>
              </w:rPr>
              <w:t>14</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kern w:val="0"/>
                <w:sz w:val="18"/>
                <w:szCs w:val="18"/>
              </w:rPr>
            </w:pPr>
            <w:r>
              <w:rPr>
                <w:rFonts w:hint="eastAsia"/>
                <w:sz w:val="18"/>
                <w:szCs w:val="18"/>
              </w:rPr>
              <w:t>≥</w:t>
            </w:r>
            <w:r>
              <w:rPr>
                <w:rFonts w:hint="eastAsia"/>
                <w:sz w:val="18"/>
                <w:szCs w:val="18"/>
                <w:lang w:val="en-US" w:eastAsia="zh-CN"/>
              </w:rPr>
              <w:t xml:space="preserve"> 10513 </w:t>
            </w:r>
            <w:r>
              <w:rPr>
                <w:rFonts w:hint="eastAsia"/>
                <w:sz w:val="18"/>
                <w:szCs w:val="18"/>
              </w:rPr>
              <w:t>元/㎡</w:t>
            </w:r>
          </w:p>
        </w:tc>
        <w:tc>
          <w:tcPr>
            <w:tcW w:w="1230" w:type="dxa"/>
            <w:vAlign w:val="center"/>
          </w:tcPr>
          <w:p>
            <w:pPr>
              <w:pStyle w:val="10"/>
              <w:spacing w:line="0" w:lineRule="atLeast"/>
              <w:jc w:val="center"/>
              <w:rPr>
                <w:kern w:val="0"/>
                <w:sz w:val="18"/>
                <w:szCs w:val="18"/>
              </w:rPr>
            </w:pPr>
            <w:r>
              <w:rPr>
                <w:rFonts w:hint="eastAsia"/>
                <w:sz w:val="18"/>
                <w:szCs w:val="18"/>
              </w:rPr>
              <w:t>开发区、产业集聚区配套公共服务平台建设与服务</w:t>
            </w:r>
          </w:p>
        </w:tc>
        <w:tc>
          <w:tcPr>
            <w:tcW w:w="1095" w:type="dxa"/>
            <w:vAlign w:val="center"/>
          </w:tcPr>
          <w:p>
            <w:pPr>
              <w:pStyle w:val="10"/>
              <w:spacing w:line="0" w:lineRule="atLeast"/>
              <w:jc w:val="center"/>
              <w:rPr>
                <w:sz w:val="18"/>
                <w:szCs w:val="18"/>
              </w:rPr>
            </w:pPr>
            <w:r>
              <w:rPr>
                <w:rFonts w:hint="eastAsia"/>
                <w:sz w:val="18"/>
                <w:szCs w:val="18"/>
                <w:lang w:eastAsia="zh-CN"/>
              </w:rPr>
              <w:t>惠州仲恺高新技术产业开发区管理委员会</w:t>
            </w:r>
          </w:p>
        </w:tc>
        <w:tc>
          <w:tcPr>
            <w:tcW w:w="1095" w:type="dxa"/>
            <w:vAlign w:val="center"/>
          </w:tcPr>
          <w:p>
            <w:pPr>
              <w:pStyle w:val="10"/>
              <w:spacing w:line="0" w:lineRule="atLeast"/>
              <w:jc w:val="center"/>
              <w:rPr>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8BF6C42"/>
    <w:rsid w:val="077617D5"/>
    <w:rsid w:val="34616EF5"/>
    <w:rsid w:val="34DF122A"/>
    <w:rsid w:val="3D9546C1"/>
    <w:rsid w:val="43D11D58"/>
    <w:rsid w:val="48B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我的正文"/>
    <w:basedOn w:val="9"/>
    <w:qFormat/>
    <w:uiPriority w:val="0"/>
    <w:pPr>
      <w:spacing w:line="560" w:lineRule="exact"/>
      <w:ind w:firstLine="200" w:firstLineChars="200"/>
    </w:pPr>
    <w:rPr>
      <w:rFonts w:eastAsia="仿宋_GB2312"/>
      <w:sz w:val="32"/>
      <w:szCs w:val="32"/>
    </w:rPr>
  </w:style>
  <w:style w:type="paragraph" w:customStyle="1" w:styleId="9">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惠城区</Company>
  <Pages>8</Pages>
  <Words>3227</Words>
  <Characters>3554</Characters>
  <Lines>0</Lines>
  <Paragraphs>0</Paragraphs>
  <TotalTime>8</TotalTime>
  <ScaleCrop>false</ScaleCrop>
  <LinksUpToDate>false</LinksUpToDate>
  <CharactersWithSpaces>3591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2023-01-19T01:53:00Z</dcterms:created>
  <dc:creator>赖仕彬</dc:creator>
  <cp:lastModifiedBy>Administrator</cp:lastModifiedBy>
  <dcterms:modified xsi:type="dcterms:W3CDTF">2023-02-07T10:12:40Z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E5035D0021F2421680529C6B11D0789B</vt:lpwstr>
  </property>
</Properties>
</file>